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71FA15">
      <w:pPr>
        <w:pStyle w:val="2"/>
        <w:keepNext/>
        <w:keepLines/>
        <w:pageBreakBefore w:val="0"/>
        <w:widowControl w:val="0"/>
        <w:kinsoku/>
        <w:wordWrap/>
        <w:overflowPunct/>
        <w:topLinePunct w:val="0"/>
        <w:autoSpaceDE/>
        <w:autoSpaceDN/>
        <w:bidi w:val="0"/>
        <w:adjustRightInd/>
        <w:snapToGrid/>
        <w:spacing w:before="0" w:beforeLines="0" w:after="0" w:afterLines="0" w:line="600" w:lineRule="exact"/>
        <w:jc w:val="both"/>
        <w:textAlignment w:val="auto"/>
        <w:outlineLvl w:val="0"/>
        <w:rPr>
          <w:rFonts w:hint="eastAsia" w:ascii="黑体" w:hAnsi="黑体" w:eastAsia="黑体" w:cs="黑体"/>
          <w:b w:val="0"/>
          <w:bCs w:val="0"/>
          <w:color w:val="auto"/>
          <w:sz w:val="32"/>
          <w:szCs w:val="32"/>
          <w:lang w:val="en-US" w:eastAsia="zh-CN"/>
        </w:rPr>
      </w:pPr>
      <w:bookmarkStart w:id="0" w:name="_GoBack"/>
      <w:r>
        <w:rPr>
          <w:rFonts w:hint="eastAsia" w:ascii="黑体" w:hAnsi="黑体" w:eastAsia="黑体" w:cs="黑体"/>
          <w:b w:val="0"/>
          <w:bCs w:val="0"/>
          <w:color w:val="auto"/>
          <w:sz w:val="32"/>
          <w:szCs w:val="32"/>
          <w:lang w:val="en-US" w:eastAsia="zh-CN"/>
        </w:rPr>
        <w:t>附件1</w:t>
      </w:r>
    </w:p>
    <w:p w14:paraId="4BFA4152">
      <w:pPr>
        <w:pageBreakBefore w:val="0"/>
        <w:widowControl w:val="0"/>
        <w:kinsoku/>
        <w:overflowPunct/>
        <w:topLinePunct w:val="0"/>
        <w:autoSpaceDE/>
        <w:autoSpaceDN/>
        <w:bidi w:val="0"/>
        <w:adjustRightInd/>
        <w:snapToGrid/>
        <w:spacing w:line="600" w:lineRule="exact"/>
        <w:textAlignment w:val="auto"/>
        <w:rPr>
          <w:rFonts w:hint="eastAsia"/>
          <w:lang w:val="en-US" w:eastAsia="zh-CN"/>
        </w:rPr>
      </w:pPr>
    </w:p>
    <w:p w14:paraId="25426E37">
      <w:pPr>
        <w:pStyle w:val="2"/>
        <w:keepNext/>
        <w:keepLines/>
        <w:pageBreakBefore w:val="0"/>
        <w:widowControl w:val="0"/>
        <w:kinsoku/>
        <w:wordWrap/>
        <w:overflowPunct/>
        <w:topLinePunct w:val="0"/>
        <w:autoSpaceDE/>
        <w:autoSpaceDN/>
        <w:bidi w:val="0"/>
        <w:adjustRightInd/>
        <w:snapToGrid/>
        <w:spacing w:before="0" w:beforeLines="0" w:after="0" w:afterLines="0" w:line="580" w:lineRule="exact"/>
        <w:jc w:val="center"/>
        <w:textAlignment w:val="auto"/>
        <w:outlineLvl w:val="0"/>
        <w:rPr>
          <w:rFonts w:hint="eastAsia" w:ascii="宋体" w:hAnsi="宋体" w:eastAsia="宋体" w:cs="宋体"/>
          <w:b/>
          <w:bCs/>
          <w:kern w:val="2"/>
          <w:sz w:val="44"/>
          <w:szCs w:val="44"/>
          <w:lang w:val="en-US" w:eastAsia="zh-CN" w:bidi="ar-SA"/>
        </w:rPr>
      </w:pPr>
      <w:r>
        <w:rPr>
          <w:rFonts w:hint="eastAsia" w:ascii="宋体" w:hAnsi="宋体" w:eastAsia="宋体" w:cs="宋体"/>
          <w:b/>
          <w:bCs/>
          <w:kern w:val="2"/>
          <w:sz w:val="44"/>
          <w:szCs w:val="44"/>
          <w:lang w:val="en-US" w:eastAsia="zh-CN" w:bidi="ar-SA"/>
        </w:rPr>
        <w:t>关于开展2026平台经济大中小企业协同发展案例征集活动的通知</w:t>
      </w:r>
    </w:p>
    <w:bookmarkEnd w:id="0"/>
    <w:p w14:paraId="0C70A289">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imes New Roman" w:hAnsi="Times New Roman" w:eastAsia="方正小标宋简体" w:cs="Times New Roman"/>
          <w:b/>
          <w:bCs/>
          <w:color w:val="auto"/>
          <w:sz w:val="44"/>
          <w:szCs w:val="44"/>
          <w:lang w:val="en-US" w:eastAsia="zh-CN"/>
        </w:rPr>
      </w:pPr>
    </w:p>
    <w:p w14:paraId="5AACD80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各相关单位：</w:t>
      </w:r>
    </w:p>
    <w:p w14:paraId="171550D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为深入贯彻习近平总书记关于推动平台经济规范健康持续发展的系列重要指示精神，落实《促进平台经济大中小企业协同发展行动方案（2026-2028年）》相关部署，促进平台经济大中小企业实现技术、产业、服务与市场协同，助力构建“大企业赋能中小企业、中小企业支撑大企业”的融通生态，增强创新发展动力，提升行业发展水平，中国互联网协会现决定开展2026平台经济大中小企业协同发展案例征集活动。有关事项通知如下：</w:t>
      </w:r>
    </w:p>
    <w:p w14:paraId="665CF9E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一、申报范围</w:t>
      </w:r>
    </w:p>
    <w:p w14:paraId="7E09161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聚焦平台经济大中小企业协同发展，设置产业协同、技术赋能、生态共建、其他类型四个方向。</w:t>
      </w:r>
    </w:p>
    <w:p w14:paraId="5EEA976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楷体_GB2312" w:hAnsi="楷体_GB2312" w:eastAsia="楷体_GB2312" w:cs="楷体_GB2312"/>
          <w:b w:val="0"/>
          <w:bCs w:val="0"/>
          <w:color w:val="auto"/>
          <w:kern w:val="2"/>
          <w:sz w:val="32"/>
          <w:szCs w:val="32"/>
          <w:lang w:val="en-US" w:eastAsia="zh-CN" w:bidi="ar-SA"/>
        </w:rPr>
        <w:t>（一）产业协同。</w:t>
      </w:r>
      <w:r>
        <w:rPr>
          <w:rFonts w:hint="eastAsia" w:ascii="Times New Roman" w:hAnsi="Times New Roman" w:eastAsia="仿宋_GB2312" w:cs="Times New Roman"/>
          <w:color w:val="auto"/>
          <w:kern w:val="2"/>
          <w:sz w:val="32"/>
          <w:szCs w:val="32"/>
          <w:lang w:val="en-US" w:eastAsia="zh-CN" w:bidi="ar-SA"/>
        </w:rPr>
        <w:t>大企业依托供应链整合、产能共享、订单拆分等方式，带动中小企业专业化发展的实践；中小企业立足细分领域技术优势，为大企业提供关键组件、创新服务等配套支撑，实现产业链上下游协同升级的案例；以及跨行业产业链协同创新案例，包括不同领域企业共建产业联盟、联合开展产业链补链强链行动等实践。</w:t>
      </w:r>
    </w:p>
    <w:p w14:paraId="5D24E4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楷体_GB2312" w:hAnsi="楷体_GB2312" w:eastAsia="楷体_GB2312" w:cs="楷体_GB2312"/>
          <w:b w:val="0"/>
          <w:bCs w:val="0"/>
          <w:color w:val="auto"/>
          <w:kern w:val="2"/>
          <w:sz w:val="32"/>
          <w:szCs w:val="32"/>
          <w:lang w:val="en-US" w:eastAsia="zh-CN" w:bidi="ar-SA"/>
        </w:rPr>
        <w:t>（二）技术赋能。</w:t>
      </w:r>
      <w:r>
        <w:rPr>
          <w:rFonts w:hint="eastAsia" w:ascii="Times New Roman" w:hAnsi="Times New Roman" w:eastAsia="仿宋_GB2312" w:cs="Times New Roman"/>
          <w:color w:val="auto"/>
          <w:kern w:val="2"/>
          <w:sz w:val="32"/>
          <w:szCs w:val="32"/>
          <w:lang w:val="en-US" w:eastAsia="zh-CN" w:bidi="ar-SA"/>
        </w:rPr>
        <w:t>大企业开放云计算、大数据分析等数字平台能力，为中小企业提供低成本的数字化解决方案；大企业提供技术设备、研发资金与标准规范，中小企业投入研发团队，联合攻克行业共性技术难题案例；大中小企业联合构建行业级技术协同网络，实现技术资源的动态调配与创新协作等实践。</w:t>
      </w:r>
    </w:p>
    <w:p w14:paraId="1F5DBF5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楷体_GB2312" w:hAnsi="楷体_GB2312" w:eastAsia="楷体_GB2312" w:cs="楷体_GB2312"/>
          <w:b w:val="0"/>
          <w:bCs w:val="0"/>
          <w:color w:val="auto"/>
          <w:kern w:val="2"/>
          <w:sz w:val="32"/>
          <w:szCs w:val="32"/>
          <w:lang w:val="en-US" w:eastAsia="zh-CN" w:bidi="ar-SA"/>
        </w:rPr>
        <w:t>（三）生态共建。</w:t>
      </w:r>
      <w:r>
        <w:rPr>
          <w:rFonts w:hint="eastAsia" w:ascii="Times New Roman" w:hAnsi="Times New Roman" w:eastAsia="仿宋_GB2312" w:cs="Times New Roman"/>
          <w:color w:val="auto"/>
          <w:kern w:val="2"/>
          <w:sz w:val="32"/>
          <w:szCs w:val="32"/>
          <w:lang w:val="en-US" w:eastAsia="zh-CN" w:bidi="ar-SA"/>
        </w:rPr>
        <w:t>大企业联合中小企业、高校科研机构构建创新联合体，开展联合研发、成果转化的案例；大企业设立创新创业孵化平台，为中小企业提供技术指导、资金支持、市场对接等全链条服务的案例；以及中小企业创新成果与大企业产业化能力相结合，实现深度融合的案例。</w:t>
      </w:r>
    </w:p>
    <w:p w14:paraId="1DDE27F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楷体_GB2312" w:hAnsi="楷体_GB2312" w:eastAsia="楷体_GB2312" w:cs="楷体_GB2312"/>
          <w:b w:val="0"/>
          <w:bCs w:val="0"/>
          <w:color w:val="auto"/>
          <w:kern w:val="2"/>
          <w:sz w:val="32"/>
          <w:szCs w:val="32"/>
          <w:lang w:val="en-US" w:eastAsia="zh-CN" w:bidi="ar-SA"/>
        </w:rPr>
        <w:t>（四）其他类型。</w:t>
      </w:r>
      <w:r>
        <w:rPr>
          <w:rFonts w:hint="eastAsia" w:ascii="Times New Roman" w:hAnsi="Times New Roman" w:eastAsia="仿宋_GB2312" w:cs="Times New Roman"/>
          <w:color w:val="auto"/>
          <w:kern w:val="2"/>
          <w:sz w:val="32"/>
          <w:szCs w:val="32"/>
          <w:lang w:val="en-US" w:eastAsia="zh-CN" w:bidi="ar-SA"/>
        </w:rPr>
        <w:t>具体包括但不限于：大中小企业共建人才培养基地，大中小企业共同开拓国内外市场、联合打造区域品牌或行业品牌，大中小企业在绿色生产、低碳转型方面的协同实践，大中小企业联合对接政府，共同参与产业政策制定建言献策等相关实践。</w:t>
      </w:r>
    </w:p>
    <w:p w14:paraId="5E3338F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黑体" w:hAnsi="黑体" w:eastAsia="黑体" w:cs="黑体"/>
          <w:color w:val="auto"/>
          <w:kern w:val="2"/>
          <w:sz w:val="32"/>
          <w:szCs w:val="32"/>
          <w:highlight w:val="none"/>
          <w:lang w:val="en-US" w:eastAsia="zh-CN" w:bidi="ar-SA"/>
        </w:rPr>
        <w:t>二、</w:t>
      </w:r>
      <w:r>
        <w:rPr>
          <w:rFonts w:hint="eastAsia" w:ascii="黑体" w:hAnsi="黑体" w:eastAsia="黑体" w:cs="黑体"/>
          <w:color w:val="auto"/>
          <w:kern w:val="2"/>
          <w:sz w:val="32"/>
          <w:szCs w:val="32"/>
          <w:highlight w:val="none"/>
          <w:lang w:val="en-US" w:eastAsia="zh-CN" w:bidi="ar-SA"/>
        </w:rPr>
        <w:t>申报</w:t>
      </w:r>
      <w:r>
        <w:rPr>
          <w:rFonts w:hint="default" w:ascii="黑体" w:hAnsi="黑体" w:eastAsia="黑体" w:cs="黑体"/>
          <w:color w:val="auto"/>
          <w:kern w:val="2"/>
          <w:sz w:val="32"/>
          <w:szCs w:val="32"/>
          <w:highlight w:val="none"/>
          <w:lang w:val="en-US" w:eastAsia="zh-CN" w:bidi="ar-SA"/>
        </w:rPr>
        <w:t>要求</w:t>
      </w:r>
    </w:p>
    <w:p w14:paraId="71FE63E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楷体_GB2312" w:hAnsi="楷体_GB2312" w:eastAsia="楷体_GB2312" w:cs="楷体_GB2312"/>
          <w:b w:val="0"/>
          <w:bCs w:val="0"/>
          <w:color w:val="auto"/>
          <w:kern w:val="2"/>
          <w:sz w:val="32"/>
          <w:szCs w:val="32"/>
          <w:highlight w:val="none"/>
          <w:lang w:val="en-US" w:eastAsia="zh-CN" w:bidi="ar-SA"/>
        </w:rPr>
        <w:t>（一）</w:t>
      </w:r>
      <w:r>
        <w:rPr>
          <w:rFonts w:hint="eastAsia" w:ascii="楷体_GB2312" w:hAnsi="楷体_GB2312" w:eastAsia="楷体_GB2312" w:cs="楷体_GB2312"/>
          <w:b w:val="0"/>
          <w:bCs w:val="0"/>
          <w:color w:val="auto"/>
          <w:kern w:val="2"/>
          <w:sz w:val="32"/>
          <w:szCs w:val="32"/>
          <w:highlight w:val="none"/>
          <w:lang w:val="en-US" w:eastAsia="zh-CN" w:bidi="ar-SA"/>
        </w:rPr>
        <w:t>主体资质。</w:t>
      </w:r>
      <w:r>
        <w:rPr>
          <w:rFonts w:hint="default" w:ascii="Times New Roman" w:hAnsi="Times New Roman" w:eastAsia="仿宋_GB2312" w:cs="Times New Roman"/>
          <w:color w:val="auto"/>
          <w:kern w:val="2"/>
          <w:sz w:val="32"/>
          <w:szCs w:val="32"/>
          <w:highlight w:val="none"/>
          <w:lang w:val="en-US" w:eastAsia="zh-CN" w:bidi="ar-SA"/>
        </w:rPr>
        <w:t>申报主体须具有独立法人资格</w:t>
      </w:r>
      <w:r>
        <w:rPr>
          <w:rFonts w:hint="eastAsia" w:ascii="Times New Roman" w:hAnsi="Times New Roman" w:eastAsia="仿宋_GB2312" w:cs="Times New Roman"/>
          <w:color w:val="auto"/>
          <w:kern w:val="2"/>
          <w:sz w:val="32"/>
          <w:szCs w:val="32"/>
          <w:highlight w:val="none"/>
          <w:lang w:val="en-US" w:eastAsia="zh-CN" w:bidi="ar-SA"/>
        </w:rPr>
        <w:t>，经营状况良好</w:t>
      </w:r>
      <w:r>
        <w:rPr>
          <w:rFonts w:hint="default" w:ascii="Times New Roman" w:hAnsi="Times New Roman" w:eastAsia="仿宋_GB2312" w:cs="Times New Roman"/>
          <w:color w:val="auto"/>
          <w:kern w:val="2"/>
          <w:sz w:val="32"/>
          <w:szCs w:val="32"/>
          <w:highlight w:val="none"/>
          <w:lang w:val="en-US" w:eastAsia="zh-CN" w:bidi="ar-SA"/>
        </w:rPr>
        <w:t>，在质量、安全、信誉和社会责任等方面无不良记录。允许以联合体方式参与申报，联合</w:t>
      </w:r>
      <w:r>
        <w:rPr>
          <w:rFonts w:hint="eastAsia" w:ascii="Times New Roman" w:hAnsi="Times New Roman" w:eastAsia="仿宋_GB2312" w:cs="Times New Roman"/>
          <w:color w:val="auto"/>
          <w:kern w:val="2"/>
          <w:sz w:val="32"/>
          <w:szCs w:val="32"/>
          <w:highlight w:val="none"/>
          <w:lang w:val="en-US" w:eastAsia="zh-CN" w:bidi="ar-SA"/>
        </w:rPr>
        <w:t>参与</w:t>
      </w:r>
      <w:r>
        <w:rPr>
          <w:rFonts w:hint="default" w:ascii="Times New Roman" w:hAnsi="Times New Roman" w:eastAsia="仿宋_GB2312" w:cs="Times New Roman"/>
          <w:color w:val="auto"/>
          <w:kern w:val="2"/>
          <w:sz w:val="32"/>
          <w:szCs w:val="32"/>
          <w:highlight w:val="none"/>
          <w:lang w:val="en-US" w:eastAsia="zh-CN" w:bidi="ar-SA"/>
        </w:rPr>
        <w:t>单位不超过3家。相关分支机构可凭上级法人单位的授权文件申报。</w:t>
      </w:r>
    </w:p>
    <w:p w14:paraId="320EF29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楷体_GB2312" w:hAnsi="楷体_GB2312" w:eastAsia="楷体_GB2312" w:cs="楷体_GB2312"/>
          <w:b w:val="0"/>
          <w:bCs w:val="0"/>
          <w:color w:val="auto"/>
          <w:kern w:val="2"/>
          <w:sz w:val="32"/>
          <w:szCs w:val="32"/>
          <w:highlight w:val="none"/>
          <w:lang w:val="en-US" w:eastAsia="zh-CN" w:bidi="ar-SA"/>
        </w:rPr>
        <w:t>（二）</w:t>
      </w:r>
      <w:r>
        <w:rPr>
          <w:rFonts w:hint="eastAsia" w:ascii="楷体_GB2312" w:hAnsi="楷体_GB2312" w:eastAsia="楷体_GB2312" w:cs="楷体_GB2312"/>
          <w:b w:val="0"/>
          <w:bCs w:val="0"/>
          <w:color w:val="auto"/>
          <w:kern w:val="2"/>
          <w:sz w:val="32"/>
          <w:szCs w:val="32"/>
          <w:highlight w:val="none"/>
          <w:lang w:val="en-US" w:eastAsia="zh-CN" w:bidi="ar-SA"/>
        </w:rPr>
        <w:t>案例条件。</w:t>
      </w:r>
      <w:r>
        <w:rPr>
          <w:rFonts w:hint="default" w:ascii="Times New Roman" w:hAnsi="Times New Roman" w:eastAsia="仿宋_GB2312" w:cs="Times New Roman"/>
          <w:color w:val="auto"/>
          <w:kern w:val="2"/>
          <w:sz w:val="32"/>
          <w:szCs w:val="32"/>
          <w:highlight w:val="none"/>
          <w:lang w:val="en-US" w:eastAsia="zh-CN" w:bidi="ar-SA"/>
        </w:rPr>
        <w:t>申报</w:t>
      </w:r>
      <w:r>
        <w:rPr>
          <w:rFonts w:hint="eastAsia" w:ascii="Times New Roman" w:hAnsi="Times New Roman" w:eastAsia="仿宋_GB2312" w:cs="Times New Roman"/>
          <w:color w:val="auto"/>
          <w:kern w:val="2"/>
          <w:sz w:val="32"/>
          <w:szCs w:val="32"/>
          <w:highlight w:val="none"/>
          <w:lang w:val="en-US" w:eastAsia="zh-CN" w:bidi="ar-SA"/>
        </w:rPr>
        <w:t>案例</w:t>
      </w:r>
      <w:r>
        <w:rPr>
          <w:rFonts w:hint="default" w:ascii="Times New Roman" w:hAnsi="Times New Roman" w:eastAsia="仿宋_GB2312" w:cs="Times New Roman"/>
          <w:color w:val="auto"/>
          <w:kern w:val="2"/>
          <w:sz w:val="32"/>
          <w:szCs w:val="32"/>
          <w:highlight w:val="none"/>
          <w:lang w:val="en-US" w:eastAsia="zh-CN" w:bidi="ar-SA"/>
        </w:rPr>
        <w:t>须已落地实施，符合国家相关法律法规和政策导向，在</w:t>
      </w:r>
      <w:r>
        <w:rPr>
          <w:rFonts w:hint="eastAsia" w:ascii="Times New Roman" w:hAnsi="Times New Roman" w:eastAsia="仿宋_GB2312" w:cs="Times New Roman"/>
          <w:color w:val="auto"/>
          <w:kern w:val="2"/>
          <w:sz w:val="32"/>
          <w:szCs w:val="32"/>
          <w:highlight w:val="none"/>
          <w:lang w:val="en-US" w:eastAsia="zh-CN" w:bidi="ar-SA"/>
        </w:rPr>
        <w:t>平台经济</w:t>
      </w:r>
      <w:r>
        <w:rPr>
          <w:rFonts w:hint="default" w:ascii="Times New Roman" w:hAnsi="Times New Roman" w:eastAsia="仿宋_GB2312" w:cs="Times New Roman"/>
          <w:color w:val="auto"/>
          <w:kern w:val="2"/>
          <w:sz w:val="32"/>
          <w:szCs w:val="32"/>
          <w:highlight w:val="none"/>
          <w:lang w:val="en-US" w:eastAsia="zh-CN" w:bidi="ar-SA"/>
        </w:rPr>
        <w:t>大中小企业协同发展方面取得突破，可对外公开，对相关行业和企业具有较强的借鉴意义和推广价值。</w:t>
      </w:r>
    </w:p>
    <w:p w14:paraId="58992FF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楷体_GB2312" w:hAnsi="楷体_GB2312" w:eastAsia="楷体_GB2312" w:cs="楷体_GB2312"/>
          <w:b w:val="0"/>
          <w:bCs w:val="0"/>
          <w:color w:val="auto"/>
          <w:kern w:val="2"/>
          <w:sz w:val="32"/>
          <w:szCs w:val="32"/>
          <w:highlight w:val="none"/>
          <w:lang w:val="en-US" w:eastAsia="zh-CN" w:bidi="ar-SA"/>
        </w:rPr>
        <w:t>（三）</w:t>
      </w:r>
      <w:r>
        <w:rPr>
          <w:rFonts w:hint="eastAsia" w:ascii="楷体_GB2312" w:hAnsi="楷体_GB2312" w:eastAsia="楷体_GB2312" w:cs="楷体_GB2312"/>
          <w:b w:val="0"/>
          <w:bCs w:val="0"/>
          <w:color w:val="auto"/>
          <w:kern w:val="2"/>
          <w:sz w:val="32"/>
          <w:szCs w:val="32"/>
          <w:highlight w:val="none"/>
          <w:lang w:val="en-US" w:eastAsia="zh-CN" w:bidi="ar-SA"/>
        </w:rPr>
        <w:t>权属要求。</w:t>
      </w:r>
      <w:r>
        <w:rPr>
          <w:rFonts w:hint="default" w:ascii="Times New Roman" w:hAnsi="Times New Roman" w:eastAsia="仿宋_GB2312" w:cs="Times New Roman"/>
          <w:color w:val="auto"/>
          <w:kern w:val="2"/>
          <w:sz w:val="32"/>
          <w:szCs w:val="32"/>
          <w:highlight w:val="none"/>
          <w:lang w:val="en-US" w:eastAsia="zh-CN" w:bidi="ar-SA"/>
        </w:rPr>
        <w:t>申报主体对申报材料的真实性负责，申报</w:t>
      </w:r>
      <w:r>
        <w:rPr>
          <w:rFonts w:hint="eastAsia" w:ascii="Times New Roman" w:hAnsi="Times New Roman" w:eastAsia="仿宋_GB2312" w:cs="Times New Roman"/>
          <w:color w:val="auto"/>
          <w:kern w:val="2"/>
          <w:sz w:val="32"/>
          <w:szCs w:val="32"/>
          <w:highlight w:val="none"/>
          <w:lang w:val="en-US" w:eastAsia="zh-CN" w:bidi="ar-SA"/>
        </w:rPr>
        <w:t>案例</w:t>
      </w:r>
      <w:r>
        <w:rPr>
          <w:rFonts w:hint="default" w:ascii="Times New Roman" w:hAnsi="Times New Roman" w:eastAsia="仿宋_GB2312" w:cs="Times New Roman"/>
          <w:color w:val="auto"/>
          <w:kern w:val="2"/>
          <w:sz w:val="32"/>
          <w:szCs w:val="32"/>
          <w:highlight w:val="none"/>
          <w:lang w:val="en-US" w:eastAsia="zh-CN" w:bidi="ar-SA"/>
        </w:rPr>
        <w:t>的技术、产品及相关知识产权应归属申报主体、团队或取得相应授权许可，且无知识产权纠纷。</w:t>
      </w:r>
    </w:p>
    <w:p w14:paraId="04A0582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楷体_GB2312" w:hAnsi="楷体_GB2312" w:eastAsia="楷体_GB2312" w:cs="楷体_GB2312"/>
          <w:b w:val="0"/>
          <w:bCs w:val="0"/>
          <w:color w:val="auto"/>
          <w:kern w:val="2"/>
          <w:sz w:val="32"/>
          <w:szCs w:val="32"/>
          <w:highlight w:val="none"/>
          <w:lang w:val="en-US" w:eastAsia="zh-CN" w:bidi="ar-SA"/>
        </w:rPr>
        <w:t>（四）</w:t>
      </w:r>
      <w:r>
        <w:rPr>
          <w:rFonts w:hint="eastAsia" w:ascii="楷体_GB2312" w:hAnsi="楷体_GB2312" w:eastAsia="楷体_GB2312" w:cs="楷体_GB2312"/>
          <w:b w:val="0"/>
          <w:bCs w:val="0"/>
          <w:color w:val="auto"/>
          <w:kern w:val="2"/>
          <w:sz w:val="32"/>
          <w:szCs w:val="32"/>
          <w:highlight w:val="none"/>
          <w:lang w:val="en-US" w:eastAsia="zh-CN" w:bidi="ar-SA"/>
        </w:rPr>
        <w:t>申报数量。</w:t>
      </w:r>
      <w:r>
        <w:rPr>
          <w:rFonts w:hint="default" w:ascii="Times New Roman" w:hAnsi="Times New Roman" w:eastAsia="仿宋_GB2312" w:cs="Times New Roman"/>
          <w:color w:val="auto"/>
          <w:kern w:val="2"/>
          <w:sz w:val="32"/>
          <w:szCs w:val="32"/>
          <w:highlight w:val="none"/>
          <w:lang w:val="en-US" w:eastAsia="zh-CN" w:bidi="ar-SA"/>
        </w:rPr>
        <w:t>原则上每家</w:t>
      </w:r>
      <w:r>
        <w:rPr>
          <w:rFonts w:hint="eastAsia" w:ascii="Times New Roman" w:hAnsi="Times New Roman" w:eastAsia="仿宋_GB2312" w:cs="Times New Roman"/>
          <w:color w:val="auto"/>
          <w:kern w:val="2"/>
          <w:sz w:val="32"/>
          <w:szCs w:val="32"/>
          <w:highlight w:val="none"/>
          <w:lang w:val="en-US" w:eastAsia="zh-CN" w:bidi="ar-SA"/>
        </w:rPr>
        <w:t>单位申报</w:t>
      </w:r>
      <w:r>
        <w:rPr>
          <w:rFonts w:hint="default" w:ascii="Times New Roman" w:hAnsi="Times New Roman" w:eastAsia="仿宋_GB2312" w:cs="Times New Roman"/>
          <w:color w:val="auto"/>
          <w:kern w:val="2"/>
          <w:sz w:val="32"/>
          <w:szCs w:val="32"/>
          <w:highlight w:val="none"/>
          <w:lang w:val="en-US" w:eastAsia="zh-CN" w:bidi="ar-SA"/>
        </w:rPr>
        <w:t>同一</w:t>
      </w:r>
      <w:r>
        <w:rPr>
          <w:rFonts w:hint="eastAsia" w:ascii="Times New Roman" w:hAnsi="Times New Roman" w:eastAsia="仿宋_GB2312" w:cs="Times New Roman"/>
          <w:color w:val="auto"/>
          <w:kern w:val="2"/>
          <w:sz w:val="32"/>
          <w:szCs w:val="32"/>
          <w:highlight w:val="none"/>
          <w:lang w:val="en-US" w:eastAsia="zh-CN" w:bidi="ar-SA"/>
        </w:rPr>
        <w:t>方向</w:t>
      </w:r>
      <w:r>
        <w:rPr>
          <w:rFonts w:hint="default" w:ascii="Times New Roman" w:hAnsi="Times New Roman" w:eastAsia="仿宋_GB2312" w:cs="Times New Roman"/>
          <w:color w:val="auto"/>
          <w:kern w:val="2"/>
          <w:sz w:val="32"/>
          <w:szCs w:val="32"/>
          <w:highlight w:val="none"/>
          <w:lang w:val="en-US" w:eastAsia="zh-CN" w:bidi="ar-SA"/>
        </w:rPr>
        <w:t>案例不超过2个，案例总数不超过5个。</w:t>
      </w:r>
    </w:p>
    <w:p w14:paraId="35654D6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（五）其他要求。</w:t>
      </w:r>
      <w:r>
        <w:rPr>
          <w:rFonts w:hint="default" w:ascii="Times New Roman" w:hAnsi="Times New Roman" w:eastAsia="仿宋_GB2312" w:cs="Times New Roman"/>
          <w:color w:val="auto"/>
          <w:kern w:val="2"/>
          <w:sz w:val="32"/>
          <w:szCs w:val="32"/>
          <w:highlight w:val="none"/>
          <w:lang w:val="en-US" w:eastAsia="zh-CN" w:bidi="ar-SA"/>
        </w:rPr>
        <w:t>本次</w:t>
      </w:r>
      <w:r>
        <w:rPr>
          <w:rFonts w:hint="eastAsia" w:ascii="Times New Roman" w:hAnsi="Times New Roman" w:eastAsia="仿宋_GB2312" w:cs="Times New Roman"/>
          <w:color w:val="auto"/>
          <w:kern w:val="2"/>
          <w:sz w:val="32"/>
          <w:szCs w:val="32"/>
          <w:highlight w:val="none"/>
          <w:lang w:val="en-US" w:eastAsia="zh-CN" w:bidi="ar-SA"/>
        </w:rPr>
        <w:t>活动自愿参与，不收取任何费用。</w:t>
      </w:r>
    </w:p>
    <w:p w14:paraId="4E6495F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黑体" w:hAnsi="黑体" w:eastAsia="黑体" w:cs="黑体"/>
          <w:color w:val="auto"/>
          <w:kern w:val="2"/>
          <w:sz w:val="32"/>
          <w:szCs w:val="32"/>
          <w:highlight w:val="none"/>
          <w:lang w:val="en-US" w:eastAsia="zh-CN" w:bidi="ar-SA"/>
        </w:rPr>
        <w:t>三、</w:t>
      </w:r>
      <w:r>
        <w:rPr>
          <w:rFonts w:hint="eastAsia" w:ascii="黑体" w:hAnsi="黑体" w:eastAsia="黑体" w:cs="黑体"/>
          <w:color w:val="auto"/>
          <w:kern w:val="2"/>
          <w:sz w:val="32"/>
          <w:szCs w:val="32"/>
          <w:highlight w:val="none"/>
          <w:lang w:val="en-US" w:eastAsia="zh-CN" w:bidi="ar-SA"/>
        </w:rPr>
        <w:t>申报流程</w:t>
      </w:r>
    </w:p>
    <w:p w14:paraId="6E8353C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楷体_GB2312" w:hAnsi="楷体_GB2312" w:eastAsia="楷体_GB2312" w:cs="楷体_GB2312"/>
          <w:b w:val="0"/>
          <w:bCs w:val="0"/>
          <w:color w:val="auto"/>
          <w:kern w:val="2"/>
          <w:sz w:val="32"/>
          <w:szCs w:val="32"/>
          <w:highlight w:val="none"/>
          <w:lang w:val="en-US" w:eastAsia="zh-CN" w:bidi="ar-SA"/>
        </w:rPr>
      </w:pPr>
      <w:r>
        <w:rPr>
          <w:rFonts w:hint="default" w:ascii="楷体_GB2312" w:hAnsi="楷体_GB2312" w:eastAsia="楷体_GB2312" w:cs="楷体_GB2312"/>
          <w:b w:val="0"/>
          <w:bCs w:val="0"/>
          <w:color w:val="auto"/>
          <w:kern w:val="2"/>
          <w:sz w:val="32"/>
          <w:szCs w:val="32"/>
          <w:highlight w:val="none"/>
          <w:lang w:val="en-US" w:eastAsia="zh-CN" w:bidi="ar-SA"/>
        </w:rPr>
        <w:t>（一）案例申报</w:t>
      </w:r>
    </w:p>
    <w:p w14:paraId="5BF3B81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申报单位</w:t>
      </w:r>
      <w:r>
        <w:rPr>
          <w:rFonts w:hint="eastAsia" w:ascii="Times New Roman" w:hAnsi="Times New Roman" w:eastAsia="仿宋_GB2312" w:cs="Times New Roman"/>
          <w:color w:val="auto"/>
          <w:kern w:val="2"/>
          <w:sz w:val="32"/>
          <w:szCs w:val="32"/>
          <w:highlight w:val="none"/>
          <w:lang w:val="en-US" w:eastAsia="zh-CN" w:bidi="ar-SA"/>
        </w:rPr>
        <w:t>于</w:t>
      </w:r>
      <w:r>
        <w:rPr>
          <w:rFonts w:hint="eastAsia" w:ascii="仿宋_GB2312" w:hAnsi="仿宋_GB2312" w:eastAsia="仿宋_GB2312" w:cs="仿宋_GB2312"/>
          <w:b w:val="0"/>
          <w:bCs w:val="0"/>
          <w:color w:val="auto"/>
          <w:sz w:val="32"/>
          <w:szCs w:val="32"/>
          <w:lang w:eastAsia="zh-CN"/>
        </w:rPr>
        <w:t>2026年</w:t>
      </w:r>
      <w:r>
        <w:rPr>
          <w:rFonts w:hint="eastAsia" w:ascii="仿宋_GB2312" w:hAnsi="仿宋_GB2312" w:eastAsia="仿宋_GB2312" w:cs="仿宋_GB2312"/>
          <w:b w:val="0"/>
          <w:bCs w:val="0"/>
          <w:color w:val="auto"/>
          <w:sz w:val="32"/>
          <w:szCs w:val="32"/>
          <w:lang w:val="en-US" w:eastAsia="zh-CN"/>
        </w:rPr>
        <w:t>11</w:t>
      </w:r>
      <w:r>
        <w:rPr>
          <w:rFonts w:hint="eastAsia" w:ascii="仿宋_GB2312" w:hAnsi="仿宋_GB2312" w:eastAsia="仿宋_GB2312" w:cs="仿宋_GB2312"/>
          <w:b w:val="0"/>
          <w:bCs w:val="0"/>
          <w:color w:val="auto"/>
          <w:sz w:val="32"/>
          <w:szCs w:val="32"/>
          <w:lang w:eastAsia="zh-CN"/>
        </w:rPr>
        <w:t>月</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日</w:t>
      </w:r>
      <w:r>
        <w:rPr>
          <w:rFonts w:hint="eastAsia" w:ascii="仿宋_GB2312" w:hAnsi="仿宋_GB2312" w:eastAsia="仿宋_GB2312" w:cs="仿宋_GB2312"/>
          <w:b w:val="0"/>
          <w:bCs w:val="0"/>
          <w:color w:val="auto"/>
          <w:sz w:val="32"/>
          <w:szCs w:val="32"/>
          <w:lang w:val="en-US" w:eastAsia="zh-CN"/>
        </w:rPr>
        <w:t>前</w:t>
      </w:r>
      <w:r>
        <w:rPr>
          <w:rFonts w:hint="default" w:ascii="Times New Roman" w:hAnsi="Times New Roman" w:eastAsia="仿宋_GB2312" w:cs="Times New Roman"/>
          <w:color w:val="auto"/>
          <w:kern w:val="2"/>
          <w:sz w:val="32"/>
          <w:szCs w:val="32"/>
          <w:highlight w:val="none"/>
          <w:lang w:val="en-US" w:eastAsia="zh-CN" w:bidi="ar-SA"/>
        </w:rPr>
        <w:t>登录https://ish.isc.org.cn/</w:t>
      </w:r>
      <w:r>
        <w:rPr>
          <w:rFonts w:hint="eastAsia" w:ascii="Times New Roman" w:hAnsi="Times New Roman" w:eastAsia="仿宋_GB2312" w:cs="Times New Roman"/>
          <w:color w:val="auto"/>
          <w:kern w:val="2"/>
          <w:sz w:val="32"/>
          <w:szCs w:val="32"/>
          <w:highlight w:val="none"/>
          <w:lang w:val="en-US" w:eastAsia="zh-CN" w:bidi="ar-SA"/>
        </w:rPr>
        <w:t>完成线上申报，参照申报书模版填写</w:t>
      </w:r>
      <w:r>
        <w:rPr>
          <w:rFonts w:hint="default"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并在“</w:t>
      </w:r>
      <w:r>
        <w:rPr>
          <w:rFonts w:hint="default" w:ascii="Times New Roman" w:hAnsi="Times New Roman" w:eastAsia="仿宋_GB2312" w:cs="Times New Roman"/>
          <w:color w:val="auto"/>
          <w:kern w:val="2"/>
          <w:sz w:val="32"/>
          <w:szCs w:val="32"/>
          <w:highlight w:val="none"/>
          <w:lang w:val="en-US" w:eastAsia="zh-CN" w:bidi="ar-SA"/>
        </w:rPr>
        <w:t>推荐单位</w:t>
      </w:r>
      <w:r>
        <w:rPr>
          <w:rFonts w:hint="eastAsia" w:ascii="Times New Roman" w:hAnsi="Times New Roman" w:eastAsia="仿宋_GB2312" w:cs="Times New Roman"/>
          <w:color w:val="auto"/>
          <w:kern w:val="2"/>
          <w:sz w:val="32"/>
          <w:szCs w:val="32"/>
          <w:highlight w:val="none"/>
          <w:lang w:val="en-US" w:eastAsia="zh-CN" w:bidi="ar-SA"/>
        </w:rPr>
        <w:t>”一栏</w:t>
      </w:r>
      <w:r>
        <w:rPr>
          <w:rFonts w:hint="default" w:ascii="Times New Roman" w:hAnsi="Times New Roman" w:eastAsia="仿宋_GB2312" w:cs="Times New Roman"/>
          <w:color w:val="auto"/>
          <w:kern w:val="2"/>
          <w:sz w:val="32"/>
          <w:szCs w:val="32"/>
          <w:highlight w:val="none"/>
          <w:lang w:val="en-US" w:eastAsia="zh-CN" w:bidi="ar-SA"/>
        </w:rPr>
        <w:t>填写</w:t>
      </w:r>
      <w:r>
        <w:rPr>
          <w:rFonts w:hint="eastAsia" w:ascii="Times New Roman" w:hAnsi="Times New Roman" w:eastAsia="仿宋_GB2312" w:cs="Times New Roman"/>
          <w:color w:val="auto"/>
          <w:kern w:val="2"/>
          <w:sz w:val="32"/>
          <w:szCs w:val="32"/>
          <w:highlight w:val="none"/>
          <w:lang w:val="en-US" w:eastAsia="zh-CN" w:bidi="ar-SA"/>
        </w:rPr>
        <w:t>“湖南省互联网协会”，</w:t>
      </w:r>
      <w:r>
        <w:rPr>
          <w:rFonts w:hint="eastAsia" w:ascii="仿宋_GB2312" w:hAnsi="仿宋_GB2312" w:eastAsia="仿宋_GB2312" w:cs="仿宋_GB2312"/>
          <w:b w:val="0"/>
          <w:bCs w:val="0"/>
          <w:color w:val="auto"/>
          <w:sz w:val="32"/>
          <w:szCs w:val="32"/>
          <w:lang w:val="en-US" w:eastAsia="zh-CN" w:bidi="ar"/>
        </w:rPr>
        <w:t>同时将申报材料发送至省互联网协会邮箱</w:t>
      </w:r>
      <w:r>
        <w:rPr>
          <w:rFonts w:hint="eastAsia" w:ascii="仿宋" w:hAnsi="仿宋" w:eastAsia="仿宋" w:cs="仿宋"/>
          <w:b w:val="0"/>
          <w:bCs w:val="0"/>
          <w:color w:val="auto"/>
          <w:sz w:val="32"/>
          <w:szCs w:val="32"/>
          <w:lang w:val="en-US" w:eastAsia="zh-CN"/>
        </w:rPr>
        <w:t>hnisc2001@163.com并电话确认。</w:t>
      </w:r>
    </w:p>
    <w:p w14:paraId="014CEBE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default" w:ascii="楷体_GB2312" w:hAnsi="楷体_GB2312" w:eastAsia="楷体_GB2312" w:cs="楷体_GB2312"/>
          <w:b w:val="0"/>
          <w:bCs w:val="0"/>
          <w:color w:val="auto"/>
          <w:kern w:val="2"/>
          <w:sz w:val="32"/>
          <w:szCs w:val="32"/>
          <w:highlight w:val="none"/>
          <w:lang w:val="en-US" w:eastAsia="zh-CN" w:bidi="ar-SA"/>
        </w:rPr>
        <w:t>（二）案例</w:t>
      </w:r>
      <w:r>
        <w:rPr>
          <w:rFonts w:hint="eastAsia" w:ascii="楷体_GB2312" w:hAnsi="楷体_GB2312" w:eastAsia="楷体_GB2312" w:cs="楷体_GB2312"/>
          <w:b w:val="0"/>
          <w:bCs w:val="0"/>
          <w:color w:val="auto"/>
          <w:kern w:val="2"/>
          <w:sz w:val="32"/>
          <w:szCs w:val="32"/>
          <w:highlight w:val="none"/>
          <w:lang w:val="en-US" w:eastAsia="zh-CN" w:bidi="ar-SA"/>
        </w:rPr>
        <w:t>收录</w:t>
      </w:r>
      <w:r>
        <w:rPr>
          <w:rFonts w:hint="default" w:ascii="楷体_GB2312" w:hAnsi="楷体_GB2312" w:eastAsia="楷体_GB2312" w:cs="楷体_GB2312"/>
          <w:b w:val="0"/>
          <w:bCs w:val="0"/>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将根据省、自治区、直辖市互联网协</w:t>
      </w:r>
      <w:r>
        <w:rPr>
          <w:rFonts w:hint="eastAsia" w:ascii="Times New Roman" w:hAnsi="Times New Roman" w:eastAsia="仿宋_GB2312" w:cs="Times New Roman"/>
          <w:color w:val="auto"/>
          <w:kern w:val="2"/>
          <w:sz w:val="32"/>
          <w:szCs w:val="32"/>
          <w:lang w:val="en-US" w:eastAsia="zh-CN" w:bidi="ar-SA"/>
        </w:rPr>
        <w:t>会、高校及</w:t>
      </w:r>
      <w:r>
        <w:rPr>
          <w:rFonts w:hint="eastAsia" w:ascii="Times New Roman" w:hAnsi="Times New Roman" w:eastAsia="仿宋_GB2312" w:cs="Times New Roman"/>
          <w:color w:val="auto"/>
          <w:kern w:val="2"/>
          <w:sz w:val="32"/>
          <w:szCs w:val="32"/>
          <w:highlight w:val="none"/>
          <w:lang w:val="en-US" w:eastAsia="zh-CN" w:bidi="ar-SA"/>
        </w:rPr>
        <w:t>其他相关协会</w:t>
      </w:r>
      <w:r>
        <w:rPr>
          <w:rFonts w:hint="eastAsia" w:ascii="Times New Roman" w:hAnsi="Times New Roman" w:eastAsia="仿宋_GB2312" w:cs="Times New Roman"/>
          <w:color w:val="auto"/>
          <w:kern w:val="2"/>
          <w:sz w:val="32"/>
          <w:szCs w:val="32"/>
          <w:lang w:val="en-US" w:eastAsia="zh-CN" w:bidi="ar-SA"/>
        </w:rPr>
        <w:t>推荐，以及与单位自主申报情况，汇总收录进</w:t>
      </w:r>
      <w:r>
        <w:rPr>
          <w:rFonts w:hint="default"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平台经济</w:t>
      </w:r>
      <w:r>
        <w:rPr>
          <w:rFonts w:hint="default" w:ascii="Times New Roman" w:hAnsi="Times New Roman" w:eastAsia="仿宋_GB2312" w:cs="Times New Roman"/>
          <w:color w:val="auto"/>
          <w:kern w:val="2"/>
          <w:sz w:val="32"/>
          <w:szCs w:val="32"/>
          <w:highlight w:val="none"/>
          <w:lang w:val="en-US" w:eastAsia="zh-CN" w:bidi="ar-SA"/>
        </w:rPr>
        <w:t>大中小企业协同发展案例</w:t>
      </w:r>
      <w:r>
        <w:rPr>
          <w:rFonts w:hint="eastAsia" w:ascii="Times New Roman" w:hAnsi="Times New Roman" w:eastAsia="仿宋_GB2312" w:cs="Times New Roman"/>
          <w:color w:val="auto"/>
          <w:kern w:val="2"/>
          <w:sz w:val="32"/>
          <w:szCs w:val="32"/>
          <w:highlight w:val="none"/>
          <w:lang w:val="en-US" w:eastAsia="zh-CN" w:bidi="ar-SA"/>
        </w:rPr>
        <w:t>集</w:t>
      </w:r>
      <w:r>
        <w:rPr>
          <w:rFonts w:hint="default"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2026</w:t>
      </w:r>
      <w:r>
        <w:rPr>
          <w:rFonts w:hint="default" w:ascii="Times New Roman" w:hAnsi="Times New Roman"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w:t>
      </w:r>
    </w:p>
    <w:p w14:paraId="1A1E6FA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eastAsia" w:ascii="楷体_GB2312" w:hAnsi="楷体_GB2312" w:eastAsia="楷体_GB2312" w:cs="楷体_GB2312"/>
          <w:b w:val="0"/>
          <w:bCs w:val="0"/>
          <w:color w:val="auto"/>
          <w:kern w:val="2"/>
          <w:sz w:val="32"/>
          <w:szCs w:val="32"/>
          <w:lang w:val="en-US" w:eastAsia="zh-CN" w:bidi="ar-SA"/>
        </w:rPr>
        <w:t>（三）案例推广。</w:t>
      </w:r>
      <w:r>
        <w:rPr>
          <w:rFonts w:hint="eastAsia" w:ascii="Times New Roman" w:hAnsi="Times New Roman" w:eastAsia="仿宋_GB2312" w:cs="Times New Roman"/>
          <w:color w:val="auto"/>
          <w:kern w:val="2"/>
          <w:sz w:val="32"/>
          <w:szCs w:val="32"/>
          <w:lang w:val="en-US" w:eastAsia="zh-CN" w:bidi="ar-SA"/>
        </w:rPr>
        <w:t>拟在2027年1月举办的2027（第十七届）中国互联网产业年会上正式对外公布，同时报送相关政府部门，并通过多渠道组织宣传推广活动，为平台经济大中小企业协同发展提供实践样本。</w:t>
      </w:r>
    </w:p>
    <w:p w14:paraId="11B877C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p>
    <w:p w14:paraId="26BFBE8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填报咨询</w:t>
      </w:r>
      <w:r>
        <w:rPr>
          <w:rFonts w:hint="default" w:ascii="Times New Roman" w:hAnsi="Times New Roman" w:eastAsia="仿宋_GB2312" w:cs="Times New Roman"/>
          <w:color w:val="auto"/>
          <w:kern w:val="2"/>
          <w:sz w:val="32"/>
          <w:szCs w:val="32"/>
          <w:highlight w:val="none"/>
          <w:lang w:val="en-US" w:eastAsia="zh-CN" w:bidi="ar-SA"/>
        </w:rPr>
        <w:t>电话：</w:t>
      </w:r>
      <w:r>
        <w:rPr>
          <w:rFonts w:hint="eastAsia" w:ascii="Times New Roman" w:hAnsi="Times New Roman" w:eastAsia="仿宋_GB2312" w:cs="Times New Roman"/>
          <w:color w:val="auto"/>
          <w:kern w:val="2"/>
          <w:sz w:val="32"/>
          <w:szCs w:val="32"/>
          <w:highlight w:val="none"/>
          <w:lang w:val="en-US" w:eastAsia="zh-CN" w:bidi="ar-SA"/>
        </w:rPr>
        <w:t>周老师</w:t>
      </w:r>
      <w:r>
        <w:rPr>
          <w:rFonts w:hint="default" w:ascii="Times New Roman" w:hAnsi="Times New Roman" w:eastAsia="仿宋_GB2312" w:cs="Times New Roman"/>
          <w:color w:val="auto"/>
          <w:kern w:val="2"/>
          <w:sz w:val="32"/>
          <w:szCs w:val="32"/>
          <w:highlight w:val="none"/>
          <w:lang w:val="en-US" w:eastAsia="zh-CN" w:bidi="ar-SA"/>
        </w:rPr>
        <w:t>010-</w:t>
      </w:r>
      <w:r>
        <w:rPr>
          <w:rFonts w:hint="eastAsia" w:ascii="Times New Roman" w:hAnsi="Times New Roman" w:eastAsia="仿宋_GB2312" w:cs="Times New Roman"/>
          <w:color w:val="auto"/>
          <w:kern w:val="2"/>
          <w:sz w:val="32"/>
          <w:szCs w:val="32"/>
          <w:highlight w:val="none"/>
          <w:lang w:val="en-US" w:eastAsia="zh-CN" w:bidi="ar-SA"/>
        </w:rPr>
        <w:t>57234929-1031/18566279761</w:t>
      </w:r>
    </w:p>
    <w:p w14:paraId="1BAF3AD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9EC2655-C57D-4FCB-8F5D-EEFD81F415E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2B2FED6-1078-4F1C-8786-CD781F9D2D85}"/>
  </w:font>
  <w:font w:name="方正小标宋简体">
    <w:panose1 w:val="02000000000000000000"/>
    <w:charset w:val="86"/>
    <w:family w:val="auto"/>
    <w:pitch w:val="default"/>
    <w:sig w:usb0="00000001" w:usb1="08000000" w:usb2="00000000" w:usb3="00000000" w:csb0="00040000" w:csb1="00000000"/>
    <w:embedRegular r:id="rId3" w:fontKey="{133DA944-3DCE-416B-9A4B-A6F58B54EAB2}"/>
  </w:font>
  <w:font w:name="仿宋_GB2312">
    <w:altName w:val="仿宋"/>
    <w:panose1 w:val="02010609030101010101"/>
    <w:charset w:val="86"/>
    <w:family w:val="auto"/>
    <w:pitch w:val="default"/>
    <w:sig w:usb0="00000000" w:usb1="00000000" w:usb2="00000000" w:usb3="00000000" w:csb0="00040000" w:csb1="00000000"/>
    <w:embedRegular r:id="rId4" w:fontKey="{A1B983AD-3FB2-4119-97FF-91722CB1479B}"/>
  </w:font>
  <w:font w:name="楷体_GB2312">
    <w:altName w:val="楷体"/>
    <w:panose1 w:val="02010609030101010101"/>
    <w:charset w:val="86"/>
    <w:family w:val="auto"/>
    <w:pitch w:val="default"/>
    <w:sig w:usb0="00000000" w:usb1="00000000" w:usb2="00000000" w:usb3="00000000" w:csb0="00040000" w:csb1="00000000"/>
    <w:embedRegular r:id="rId5" w:fontKey="{7B3C22C9-C18A-4934-A39A-C770E4ED8815}"/>
  </w:font>
  <w:font w:name="仿宋">
    <w:panose1 w:val="02010609060101010101"/>
    <w:charset w:val="86"/>
    <w:family w:val="auto"/>
    <w:pitch w:val="default"/>
    <w:sig w:usb0="800002BF" w:usb1="38CF7CFA" w:usb2="00000016" w:usb3="00000000" w:csb0="00040001" w:csb1="00000000"/>
    <w:embedRegular r:id="rId6" w:fontKey="{08815368-A4D3-46DA-9D40-91AD5A6F1E7C}"/>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C95FD9"/>
    <w:rsid w:val="08C95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2026-10-08T02:50:00Z</dcterms:created>
  <dc:creator>红花绿叶</dc:creator>
  <cp:lastModifiedBy>红花绿叶</cp:lastModifiedBy>
  <dcterms:modified xsi:type="dcterms:W3CDTF">2026-10-08T02:51:03Z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C7BCF196258F4E419E3ABD05E45ABAC6_11</vt:lpwstr>
  </property>
  <property fmtid="{D5CDD505-2E9C-101B-9397-08002B2CF9AE}" pid="4" name="KSOTemplateDocerSaveRecord">
    <vt:lpwstr>eyJoZGlkIjoiMGJhZmNjYjY5OTg1MmQ1NjRlYjVkZTVlNmRkOGY0ZGIiLCJ1c2VySWQiOiI5NjUzODQzODQifQ==</vt:lpwstr>
  </property>
</Properties>
</file>